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rPr>
          <w:rFonts w:hint="eastAsia"/>
        </w:rPr>
      </w:pPr>
      <w:r>
        <w:rPr>
          <w:rFonts w:hint="eastAsia"/>
        </w:rPr>
        <w:t>（封面）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72"/>
          <w:szCs w:val="72"/>
          <w:lang w:eastAsia="zh-CN"/>
        </w:rPr>
        <w:t>佛山市企业质量管理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72"/>
          <w:szCs w:val="72"/>
          <w:lang w:eastAsia="zh-CN"/>
        </w:rPr>
        <w:t>成熟度评价申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72"/>
          <w:szCs w:val="72"/>
        </w:rPr>
        <w:t>报材料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pacing w:val="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0"/>
          <w:sz w:val="32"/>
          <w:szCs w:val="32"/>
          <w:lang w:val="en-US" w:eastAsia="zh-CN"/>
        </w:rPr>
        <w:t>（20</w:t>
      </w:r>
      <w:r>
        <w:rPr>
          <w:rFonts w:hint="eastAsia" w:ascii="仿宋_GB2312" w:hAnsi="仿宋_GB2312" w:cs="仿宋_GB2312"/>
          <w:b w:val="0"/>
          <w:bCs w:val="0"/>
          <w:spacing w:val="4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pacing w:val="40"/>
          <w:sz w:val="32"/>
          <w:szCs w:val="32"/>
          <w:lang w:val="en-US" w:eastAsia="zh-CN"/>
        </w:rPr>
        <w:t>年度）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pacing w:val="40"/>
          <w:sz w:val="72"/>
          <w:szCs w:val="7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ind w:firstLine="630" w:firstLineChars="196"/>
        <w:rPr>
          <w:sz w:val="28"/>
        </w:rPr>
      </w:pPr>
      <w:r>
        <w:rPr>
          <w:rFonts w:hint="eastAsia" w:eastAsia="仿宋_GB2312"/>
          <w:b/>
          <w:bCs/>
          <w:sz w:val="32"/>
          <w:szCs w:val="32"/>
        </w:rPr>
        <w:t>申报企业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或组织</w:t>
      </w:r>
      <w:r>
        <w:rPr>
          <w:rFonts w:hint="eastAsia" w:eastAsia="仿宋_GB2312"/>
          <w:b/>
          <w:bCs/>
          <w:sz w:val="32"/>
          <w:szCs w:val="32"/>
        </w:rPr>
        <w:t>名称</w:t>
      </w:r>
      <w:r>
        <w:rPr>
          <w:sz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（加盖公章）</w:t>
      </w:r>
    </w:p>
    <w:p>
      <w:pPr>
        <w:ind w:firstLine="630" w:firstLineChars="196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b/>
          <w:bCs/>
        </w:rPr>
        <w:t>申报类别：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□</w:t>
      </w:r>
      <w:r>
        <w:rPr>
          <w:rFonts w:hint="eastAsia"/>
          <w:b/>
          <w:bCs/>
        </w:rPr>
        <w:t>制造业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 w:val="0"/>
          <w:bCs w:val="0"/>
          <w:sz w:val="24"/>
          <w:szCs w:val="24"/>
          <w:lang w:eastAsia="zh-CN"/>
        </w:rPr>
        <w:t>□</w:t>
      </w:r>
      <w:r>
        <w:rPr>
          <w:rFonts w:hint="eastAsia"/>
          <w:b/>
          <w:bCs/>
        </w:rPr>
        <w:t>服务业</w:t>
      </w:r>
    </w:p>
    <w:p>
      <w:pPr>
        <w:ind w:firstLine="627" w:firstLineChars="196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27" w:firstLineChars="196"/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jc w:val="both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jc w:val="both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填</w:t>
      </w:r>
      <w:r>
        <w:rPr>
          <w:rFonts w:hint="eastAsia"/>
          <w:sz w:val="32"/>
          <w:szCs w:val="32"/>
        </w:rPr>
        <w:t>报</w:t>
      </w:r>
      <w:r>
        <w:rPr>
          <w:sz w:val="32"/>
          <w:szCs w:val="32"/>
        </w:rPr>
        <w:t>日期：       年     月   日</w:t>
      </w:r>
    </w:p>
    <w:p>
      <w:pPr>
        <w:numPr>
          <w:ilvl w:val="0"/>
          <w:numId w:val="0"/>
        </w:numPr>
        <w:spacing w:line="460" w:lineRule="exact"/>
        <w:jc w:val="center"/>
        <w:rPr>
          <w:rFonts w:hint="eastAsia" w:eastAsia="黑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46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一、</w:t>
      </w:r>
      <w:r>
        <w:rPr>
          <w:rFonts w:hint="eastAsia" w:eastAsia="黑体"/>
          <w:sz w:val="36"/>
          <w:szCs w:val="36"/>
        </w:rPr>
        <w:t>基本情况</w:t>
      </w:r>
    </w:p>
    <w:p>
      <w:pPr>
        <w:numPr>
          <w:ilvl w:val="0"/>
          <w:numId w:val="0"/>
        </w:numPr>
        <w:spacing w:line="460" w:lineRule="exact"/>
        <w:jc w:val="both"/>
        <w:rPr>
          <w:rFonts w:hint="eastAsia" w:eastAsia="黑体"/>
          <w:sz w:val="36"/>
          <w:szCs w:val="36"/>
        </w:rPr>
      </w:pP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2704"/>
        <w:gridCol w:w="1551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申报企业或组织名称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行业编号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注1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企业或组织类型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组织规模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注3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大型 □中型  □小型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住所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/经营场所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最高管理者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卓越绩效管理机构名称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实施卓越绩效管理时间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职工总数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管理人员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卓越绩效管理自评师数量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研发人员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申报联系人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同行业主要竞争对手企业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组织简介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（500字以内）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44444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44444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主要产品或服务简要说明（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00字以内）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44444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44444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企业/组织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承诺说明</w:t>
            </w:r>
          </w:p>
        </w:tc>
        <w:tc>
          <w:tcPr>
            <w:tcW w:w="6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郑重承诺，所提供的数据和相关证明材料真实、可信。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负责人签名：</w:t>
            </w:r>
          </w:p>
        </w:tc>
      </w:tr>
    </w:tbl>
    <w:p>
      <w:pPr>
        <w:spacing w:line="360" w:lineRule="exact"/>
        <w:rPr>
          <w:rFonts w:hint="eastAsia" w:ascii="楷体" w:hAnsi="楷体" w:eastAsia="楷体" w:cs="楷体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spacing w:val="-4"/>
          <w:sz w:val="21"/>
          <w:szCs w:val="21"/>
        </w:rPr>
        <w:t>注：</w:t>
      </w: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spacing w:val="-4"/>
          <w:sz w:val="21"/>
          <w:szCs w:val="21"/>
          <w:lang w:eastAsia="zh-CN"/>
        </w:rPr>
        <w:t>行业编号依据</w:t>
      </w:r>
      <w:r>
        <w:rPr>
          <w:rFonts w:hint="eastAsia" w:ascii="楷体" w:hAnsi="楷体" w:eastAsia="楷体" w:cs="楷体"/>
          <w:sz w:val="21"/>
          <w:szCs w:val="21"/>
        </w:rPr>
        <w:t>《国民经济行业分类GB/T 4754—2017》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填写小类代码。</w:t>
      </w:r>
    </w:p>
    <w:p>
      <w:pPr>
        <w:numPr>
          <w:ilvl w:val="0"/>
          <w:numId w:val="0"/>
        </w:numPr>
        <w:spacing w:line="360" w:lineRule="exact"/>
        <w:ind w:firstLine="404" w:firstLineChars="200"/>
        <w:rPr>
          <w:rFonts w:hint="eastAsia" w:ascii="楷体" w:hAnsi="楷体" w:eastAsia="楷体" w:cs="楷体"/>
          <w:spacing w:val="-4"/>
          <w:sz w:val="21"/>
          <w:szCs w:val="21"/>
        </w:rPr>
      </w:pP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2.</w:t>
      </w:r>
      <w:r>
        <w:rPr>
          <w:rFonts w:hint="eastAsia" w:ascii="楷体" w:hAnsi="楷体" w:eastAsia="楷体" w:cs="楷体"/>
          <w:spacing w:val="-4"/>
          <w:sz w:val="21"/>
          <w:szCs w:val="21"/>
          <w:lang w:eastAsia="zh-CN"/>
        </w:rPr>
        <w:t>企业</w:t>
      </w: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/组织</w:t>
      </w:r>
      <w:r>
        <w:rPr>
          <w:rFonts w:hint="eastAsia" w:ascii="楷体" w:hAnsi="楷体" w:eastAsia="楷体" w:cs="楷体"/>
          <w:spacing w:val="-4"/>
          <w:sz w:val="21"/>
          <w:szCs w:val="21"/>
          <w:lang w:eastAsia="zh-CN"/>
        </w:rPr>
        <w:t>类型按照《营业执照》中的登记注册类型填写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。</w:t>
      </w:r>
    </w:p>
    <w:p>
      <w:pPr>
        <w:numPr>
          <w:ilvl w:val="0"/>
          <w:numId w:val="0"/>
        </w:numPr>
        <w:spacing w:line="360" w:lineRule="exact"/>
        <w:ind w:firstLine="404" w:firstLineChars="200"/>
        <w:rPr>
          <w:rFonts w:hint="eastAsia" w:ascii="华文仿宋" w:hAnsi="华文仿宋" w:eastAsia="华文仿宋" w:cs="华文仿宋"/>
          <w:spacing w:val="-4"/>
          <w:sz w:val="24"/>
          <w:szCs w:val="24"/>
        </w:rPr>
      </w:pP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3.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企业</w:t>
      </w: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/组织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规模划分</w:t>
      </w:r>
      <w:r>
        <w:rPr>
          <w:rFonts w:hint="eastAsia" w:ascii="楷体" w:hAnsi="楷体" w:eastAsia="楷体" w:cs="楷体"/>
          <w:spacing w:val="-4"/>
          <w:sz w:val="21"/>
          <w:szCs w:val="21"/>
          <w:lang w:eastAsia="zh-CN"/>
        </w:rPr>
        <w:t>依据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国家统计局《统计上大中小</w:t>
      </w:r>
      <w:r>
        <w:rPr>
          <w:rFonts w:hint="eastAsia" w:ascii="楷体" w:hAnsi="楷体" w:eastAsia="楷体" w:cs="楷体"/>
          <w:spacing w:val="-4"/>
          <w:sz w:val="21"/>
          <w:szCs w:val="21"/>
          <w:lang w:eastAsia="zh-CN"/>
        </w:rPr>
        <w:t>微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型企业划分办法（</w:t>
      </w: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>2017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）》</w:t>
      </w:r>
      <w:r>
        <w:rPr>
          <w:rFonts w:hint="eastAsia" w:ascii="楷体" w:hAnsi="楷体" w:eastAsia="楷体" w:cs="楷体"/>
          <w:spacing w:val="-4"/>
          <w:sz w:val="21"/>
          <w:szCs w:val="21"/>
          <w:lang w:eastAsia="zh-CN"/>
        </w:rPr>
        <w:t>填写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。</w:t>
      </w:r>
    </w:p>
    <w:p>
      <w:pPr>
        <w:spacing w:after="217" w:afterLines="50" w:line="560" w:lineRule="exact"/>
        <w:jc w:val="center"/>
        <w:rPr>
          <w:rFonts w:hint="eastAsia" w:ascii="黑体" w:eastAsia="黑体"/>
          <w:spacing w:val="-4"/>
          <w:sz w:val="36"/>
          <w:lang w:eastAsia="zh-CN"/>
        </w:rPr>
      </w:pPr>
    </w:p>
    <w:p>
      <w:pPr>
        <w:spacing w:after="217" w:afterLines="50" w:line="560" w:lineRule="exact"/>
        <w:jc w:val="center"/>
        <w:rPr>
          <w:rFonts w:ascii="黑体" w:eastAsia="黑体"/>
          <w:spacing w:val="-4"/>
          <w:sz w:val="36"/>
        </w:rPr>
      </w:pPr>
      <w:r>
        <w:rPr>
          <w:rFonts w:hint="eastAsia" w:ascii="黑体" w:eastAsia="黑体"/>
          <w:spacing w:val="-4"/>
          <w:sz w:val="36"/>
          <w:lang w:eastAsia="zh-CN"/>
        </w:rPr>
        <w:t>二</w:t>
      </w:r>
      <w:r>
        <w:rPr>
          <w:rFonts w:hint="eastAsia" w:ascii="黑体" w:eastAsia="黑体"/>
          <w:spacing w:val="-4"/>
          <w:sz w:val="36"/>
        </w:rPr>
        <w:t>、</w:t>
      </w:r>
      <w:r>
        <w:rPr>
          <w:rFonts w:ascii="黑体" w:eastAsia="黑体"/>
          <w:spacing w:val="-4"/>
          <w:sz w:val="36"/>
        </w:rPr>
        <w:t>主要经济效益、安全、环境指标</w:t>
      </w:r>
    </w:p>
    <w:p>
      <w:pPr>
        <w:pStyle w:val="2"/>
        <w:rPr>
          <w:rFonts w:hint="eastAsia"/>
        </w:rPr>
      </w:pPr>
    </w:p>
    <w:tbl>
      <w:tblPr>
        <w:tblStyle w:val="5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503"/>
        <w:gridCol w:w="1260"/>
        <w:gridCol w:w="1216"/>
        <w:gridCol w:w="132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spacing w:before="217" w:beforeLines="50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  <w:t>序号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spacing w:before="217" w:beforeLines="50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  <w:t>项  目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217" w:beforeLines="50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  <w:t>单位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before="217" w:beforeLines="50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/>
                <w:spacing w:val="-4"/>
                <w:sz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  <w:t>年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before="217" w:beforeLines="50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/>
                <w:spacing w:val="-4"/>
                <w:sz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  <w:t>年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spacing w:before="217" w:beforeLines="50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/>
                <w:spacing w:val="-4"/>
                <w:sz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pacing w:val="-4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总资产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2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主营业务收入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投资收益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4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营业外收入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5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销售额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6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利润总额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7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出口总额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万美元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8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上缴利税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9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总资产贡献率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%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10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资本保值增值率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%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11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资产负债率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%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12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流动资产周转率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次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13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成本费用利润率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%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14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全员劳动生产率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万元/人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15</w:t>
            </w:r>
          </w:p>
        </w:tc>
        <w:tc>
          <w:tcPr>
            <w:tcW w:w="25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产品销售率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%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spacing w:after="217" w:afterLines="50"/>
              <w:jc w:val="center"/>
              <w:rPr>
                <w:rFonts w:hint="eastAsia" w:asciiTheme="majorEastAsia" w:hAnsiTheme="majorEastAsia" w:eastAsiaTheme="majorEastAsia" w:cstheme="majorEastAsia"/>
                <w:spacing w:val="-4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="楷体" w:hAnsi="楷体" w:eastAsia="楷体" w:cs="楷体"/>
          <w:spacing w:val="-4"/>
          <w:sz w:val="21"/>
          <w:szCs w:val="21"/>
        </w:rPr>
      </w:pPr>
      <w:r>
        <w:rPr>
          <w:rFonts w:hint="eastAsia" w:ascii="楷体" w:hAnsi="楷体" w:eastAsia="楷体" w:cs="楷体"/>
          <w:spacing w:val="-4"/>
          <w:sz w:val="21"/>
          <w:szCs w:val="21"/>
        </w:rPr>
        <w:t>注：1.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服务业组织以上</w:t>
      </w:r>
      <w:r>
        <w:rPr>
          <w:rFonts w:hint="eastAsia" w:ascii="楷体" w:hAnsi="楷体" w:eastAsia="楷体" w:cs="楷体"/>
          <w:sz w:val="21"/>
          <w:szCs w:val="21"/>
        </w:rPr>
        <w:t>指标不适用的，可依据行业特征自选指标，并注明定义或公式。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8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pacing w:val="-4"/>
          <w:sz w:val="21"/>
          <w:szCs w:val="21"/>
        </w:rPr>
      </w:pPr>
      <w:r>
        <w:rPr>
          <w:rFonts w:hint="eastAsia" w:ascii="楷体" w:hAnsi="楷体" w:eastAsia="楷体" w:cs="楷体"/>
          <w:spacing w:val="-4"/>
          <w:sz w:val="21"/>
          <w:szCs w:val="21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pacing w:val="-4"/>
          <w:sz w:val="21"/>
          <w:szCs w:val="21"/>
        </w:rPr>
        <w:t>2.9-14项指标填写参见原国家经贸委《关于改进工业经济效益评价考核指标体系的内容及实施方案》的要求。指标的内容及计算公式如下：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7" w:beforeLines="50" w:afterAutospacing="0" w:line="340" w:lineRule="exact"/>
        <w:ind w:left="0" w:leftChars="0" w:right="0" w:rightChars="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 利润总额+税金总额+利息支出           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90805</wp:posOffset>
                </wp:positionV>
                <wp:extent cx="10287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83.5pt;margin-top:7.15pt;height:0pt;width:81pt;z-index:251663360;mso-width-relative:page;mso-height-relative:page;" filled="f" stroked="t" coordsize="21600,21600" o:gfxdata="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gxq0NYA&#10;AAAJAQAADwAAAAAAAAABACAAAAAiAAAAZHJzL2Rvd25yZXYueG1sUEsBAhQAFAAAAAgAh07iQO8j&#10;B6b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100330</wp:posOffset>
                </wp:positionV>
                <wp:extent cx="18288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0.75pt;margin-top:7.9pt;height:0pt;width:144pt;z-index:251662336;mso-width-relative:page;mso-height-relative:page;" filled="f" stroked="t" coordsize="21600,21600" o:gfxdata="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vi1TvVAAAA&#10;CQEAAA8AAAAAAAAAAQAgAAAAIgAAAGRycy9kb3ducmV2LnhtbFBLAQIUABQAAAAIAIdO4kCX9iGp&#10;5wEAANs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>①总资产贡献率=                             ×               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   平均资产总额                累计月数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right="0" w:rightChars="0" w:firstLine="40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1"/>
          <w:szCs w:val="21"/>
        </w:rPr>
        <w:t>其中：税金总额为产品销售税金及附加与应交增值税之和；平均资产总额为期初期末资产总计的算术平均值。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1624" w:firstLineChars="700"/>
        <w:jc w:val="left"/>
        <w:textAlignment w:val="auto"/>
        <w:outlineLvl w:val="9"/>
        <w:rPr>
          <w:rFonts w:eastAsia="楷体_GB2312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报告期期末所有者权益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83820</wp:posOffset>
                </wp:positionV>
                <wp:extent cx="1828800" cy="0"/>
                <wp:effectExtent l="0" t="0" r="0" b="0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26pt;margin-top:6.6pt;height:0pt;width:144pt;z-index:251659264;mso-width-relative:page;mso-height-relative:page;" filled="f" stroked="t" coordsize="21600,21600" o:gfxdata="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LjS2n1QAA&#10;AAkBAAAPAAAAAAAAAAEAIAAAACIAAABkcnMvZG93bnJldi54bWxQSwECFAAUAAAACACHTuJAcFfA&#10;yO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>②资本保值增值率=                           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1"/>
          <w:szCs w:val="21"/>
        </w:rPr>
      </w:pPr>
      <w:r>
        <w:rPr>
          <w:rFonts w:eastAsia="楷体_GB2312"/>
          <w:spacing w:val="-4"/>
          <w:sz w:val="24"/>
        </w:rPr>
        <w:t xml:space="preserve">                  上年同期期末所有者权益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right="0" w:rightChars="0" w:firstLine="404" w:firstLineChars="200"/>
        <w:jc w:val="left"/>
        <w:textAlignment w:val="auto"/>
        <w:outlineLvl w:val="9"/>
        <w:rPr>
          <w:rFonts w:eastAsia="楷体_GB2312"/>
          <w:spacing w:val="-4"/>
          <w:sz w:val="21"/>
          <w:szCs w:val="21"/>
        </w:rPr>
      </w:pPr>
      <w:r>
        <w:rPr>
          <w:rFonts w:eastAsia="楷体_GB2312"/>
          <w:spacing w:val="-4"/>
          <w:sz w:val="21"/>
          <w:szCs w:val="21"/>
        </w:rPr>
        <w:t>其中：所有者权益等于资产总计减负债总计。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</w:t>
      </w:r>
      <w:r>
        <w:rPr>
          <w:rFonts w:hint="eastAsia" w:eastAsia="楷体_GB2312"/>
          <w:spacing w:val="-4"/>
          <w:sz w:val="24"/>
        </w:rPr>
        <w:t xml:space="preserve"> </w:t>
      </w:r>
      <w:r>
        <w:rPr>
          <w:rFonts w:eastAsia="楷体_GB2312"/>
          <w:spacing w:val="-4"/>
          <w:sz w:val="24"/>
        </w:rPr>
        <w:t>负债总额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113030</wp:posOffset>
                </wp:positionV>
                <wp:extent cx="685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02.75pt;margin-top:8.9pt;height:0pt;width:54pt;z-index:251660288;mso-width-relative:page;mso-height-relative:page;" filled="f" stroked="t" coordsize="21600,21600" o:gfxdata="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hMmM7VAAAA&#10;CQEAAA8AAAAAAAAAAQAgAAAAIgAAAGRycy9kb3ducmV2LnhtbFBLAQIUABQAAAAIAIdO4kAaOzCT&#10;5wEAANo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>③资产负债率=</w:t>
      </w:r>
      <w:r>
        <w:rPr>
          <w:rFonts w:hint="eastAsia" w:eastAsia="楷体_GB2312"/>
          <w:spacing w:val="-4"/>
          <w:sz w:val="24"/>
        </w:rPr>
        <w:t xml:space="preserve"> </w:t>
      </w:r>
      <w:r>
        <w:rPr>
          <w:rFonts w:eastAsia="楷体_GB2312"/>
          <w:spacing w:val="-4"/>
          <w:sz w:val="24"/>
        </w:rPr>
        <w:t xml:space="preserve">           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</w:t>
      </w:r>
      <w:r>
        <w:rPr>
          <w:rFonts w:hint="eastAsia" w:eastAsia="楷体_GB2312"/>
          <w:spacing w:val="-4"/>
          <w:sz w:val="24"/>
        </w:rPr>
        <w:t xml:space="preserve"> </w:t>
      </w:r>
      <w:r>
        <w:rPr>
          <w:rFonts w:eastAsia="楷体_GB2312"/>
          <w:spacing w:val="-4"/>
          <w:sz w:val="24"/>
        </w:rPr>
        <w:t>资产总额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808" w:firstLineChars="400"/>
        <w:jc w:val="left"/>
        <w:textAlignment w:val="auto"/>
        <w:outlineLvl w:val="9"/>
        <w:rPr>
          <w:rFonts w:eastAsia="楷体_GB2312"/>
          <w:spacing w:val="-4"/>
          <w:sz w:val="21"/>
          <w:szCs w:val="21"/>
        </w:rPr>
      </w:pPr>
      <w:r>
        <w:rPr>
          <w:rFonts w:eastAsia="楷体_GB2312"/>
          <w:spacing w:val="-4"/>
          <w:sz w:val="21"/>
          <w:szCs w:val="21"/>
        </w:rPr>
        <w:t>其中：资产及负债均为报告期期末数。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  销售收入                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97790</wp:posOffset>
                </wp:positionV>
                <wp:extent cx="800100" cy="0"/>
                <wp:effectExtent l="0" t="0" r="0" b="0"/>
                <wp:wrapNone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52pt;margin-top:7.7pt;height:0pt;width:63pt;z-index:251668480;mso-width-relative:page;mso-height-relative:page;" filled="f" stroked="t" coordsize="21600,21600" o:gfxdata="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oYBlNUAAAAJ&#10;AQAADwAAAAAAAAABACAAAAAiAAAAZHJzL2Rvd25yZXYueG1sUEsBAhQAFAAAAAgAh07iQCkm+Xnm&#10;AQAA2gMAAA4AAAAAAAAAAQAgAAAAJ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92075</wp:posOffset>
                </wp:positionV>
                <wp:extent cx="1371600" cy="0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26pt;margin-top:7.25pt;height:0pt;width:108pt;z-index:251661312;mso-width-relative:page;mso-height-relative:page;" filled="f" stroked="t" coordsize="21600,21600" o:gfxdata="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1TFZPW&#10;AAAACQEAAA8AAAAAAAAAAQAgAAAAIgAAAGRycy9kb3ducmV2LnhtbFBLAQIUABQAAAAIAIdO4kB+&#10;rAlI6QEAANs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>④流动资产周转率=                    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流动资产平均余额         累计月数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  利润总额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93345</wp:posOffset>
                </wp:positionV>
                <wp:extent cx="1028700" cy="0"/>
                <wp:effectExtent l="0" t="0" r="0" b="0"/>
                <wp:wrapNone/>
                <wp:docPr id="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32.75pt;margin-top:7.35pt;height:0pt;width:81pt;z-index:251664384;mso-width-relative:page;mso-height-relative:page;" filled="f" stroked="t" coordsize="21600,21600" o:gfxdata="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AU+aZ1gAA&#10;AAkBAAAPAAAAAAAAAAEAIAAAACIAAABkcnMvZG93bnJldi54bWxQSwECFAAUAAAACACHTuJAN1W+&#10;5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>⑤成本费用利润率 =                ×100%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成本费用总额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right="0" w:rightChars="0" w:firstLine="404" w:firstLineChars="200"/>
        <w:jc w:val="left"/>
        <w:textAlignment w:val="auto"/>
        <w:outlineLvl w:val="9"/>
        <w:rPr>
          <w:rFonts w:eastAsia="楷体_GB2312"/>
          <w:spacing w:val="-4"/>
          <w:sz w:val="21"/>
          <w:szCs w:val="21"/>
        </w:rPr>
      </w:pPr>
      <w:r>
        <w:rPr>
          <w:rFonts w:eastAsia="楷体_GB2312"/>
          <w:spacing w:val="-4"/>
          <w:sz w:val="21"/>
          <w:szCs w:val="21"/>
        </w:rPr>
        <w:t>其中：成本费用总额为产品销售成本、销售费用、管理费用、财务费用之和。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  工业增加值              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97155</wp:posOffset>
                </wp:positionV>
                <wp:extent cx="1143000" cy="0"/>
                <wp:effectExtent l="0" t="0" r="0" b="0"/>
                <wp:wrapNone/>
                <wp:docPr id="9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43pt;margin-top:7.65pt;height:0pt;width:90pt;z-index:251666432;mso-width-relative:page;mso-height-relative:page;" filled="f" stroked="t" coordsize="21600,21600" o:gfxdata="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FtAO1QAA&#10;AAkBAAAPAAAAAAAAAAEAIAAAACIAAABkcnMvZG93bnJldi54bWxQSwECFAAUAAAACACHTuJA5AGk&#10;ru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97155</wp:posOffset>
                </wp:positionV>
                <wp:extent cx="1143000" cy="0"/>
                <wp:effectExtent l="0" t="0" r="0" b="0"/>
                <wp:wrapNone/>
                <wp:docPr id="10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35pt;margin-top:7.65pt;height:0pt;width:90pt;z-index:251665408;mso-width-relative:page;mso-height-relative:page;" filled="f" stroked="t" coordsize="21600,21600" o:gfxdata="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GH36dUA&#10;AAAJAQAADwAAAAAAAAABACAAAAAiAAAAZHJzL2Rvd25yZXYueG1sUEsBAhQAFAAAAAgAh07iQNW7&#10;mPnpAQAA3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 xml:space="preserve">⑥全员劳动生产率 =                   ×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全部职工平均人数       累计月数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right="0" w:rightChars="0" w:firstLine="404" w:firstLineChars="200"/>
        <w:jc w:val="left"/>
        <w:textAlignment w:val="auto"/>
        <w:outlineLvl w:val="9"/>
        <w:rPr>
          <w:rFonts w:eastAsia="楷体_GB2312"/>
          <w:spacing w:val="-4"/>
          <w:sz w:val="21"/>
          <w:szCs w:val="21"/>
        </w:rPr>
      </w:pPr>
      <w:r>
        <w:rPr>
          <w:rFonts w:eastAsia="楷体_GB2312"/>
          <w:spacing w:val="-4"/>
          <w:sz w:val="21"/>
          <w:szCs w:val="21"/>
        </w:rPr>
        <w:t>其中：由于工业增加值是按现行价格计算的，而职工人数不含价格因素，因此</w:t>
      </w:r>
      <w:r>
        <w:rPr>
          <w:rFonts w:hint="eastAsia" w:eastAsia="楷体_GB2312"/>
          <w:spacing w:val="-4"/>
          <w:sz w:val="21"/>
          <w:szCs w:val="21"/>
          <w:lang w:val="en-US" w:eastAsia="zh-CN"/>
        </w:rPr>
        <w:t>,</w:t>
      </w:r>
      <w:r>
        <w:rPr>
          <w:rFonts w:eastAsia="楷体_GB2312"/>
          <w:spacing w:val="-4"/>
          <w:sz w:val="21"/>
          <w:szCs w:val="21"/>
        </w:rPr>
        <w:t>应将增加值价格因素予以消除。具体方法可采用总产值价格变动系数消除价格影响。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right="0" w:rightChars="0" w:firstLine="46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工业销售产值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40" w:lineRule="exact"/>
        <w:ind w:left="0" w:leftChars="0" w:right="0" w:rightChars="0" w:firstLine="384" w:firstLineChars="20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95885</wp:posOffset>
                </wp:positionV>
                <wp:extent cx="1485900" cy="0"/>
                <wp:effectExtent l="0" t="0" r="0" b="0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08pt;margin-top:7.55pt;height:0pt;width:117pt;z-index:251667456;mso-width-relative:page;mso-height-relative:page;" filled="f" stroked="t" coordsize="21600,21600" o:gfxdata="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2qByNUA&#10;AAAJAQAADwAAAAAAAAABACAAAAAiAAAAZHJzL2Rvd25yZXYueG1sUEsBAhQAFAAAAAgAh07iQBj1&#10;nybpAQAA3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/>
          <w:spacing w:val="-4"/>
          <w:sz w:val="24"/>
        </w:rPr>
        <w:t>⑦产品销售率 =                      × 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340" w:lineRule="exact"/>
        <w:ind w:left="0" w:leftChars="0" w:right="0" w:rightChars="0"/>
        <w:jc w:val="left"/>
        <w:textAlignment w:val="auto"/>
        <w:outlineLvl w:val="9"/>
        <w:rPr>
          <w:rFonts w:eastAsia="楷体_GB2312"/>
          <w:spacing w:val="-4"/>
          <w:sz w:val="24"/>
        </w:rPr>
      </w:pPr>
      <w:r>
        <w:rPr>
          <w:rFonts w:eastAsia="楷体_GB2312"/>
          <w:spacing w:val="-4"/>
          <w:sz w:val="24"/>
        </w:rPr>
        <w:t xml:space="preserve">                   工业总产值（现价）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340" w:lineRule="exact"/>
        <w:ind w:left="0" w:leftChars="0" w:right="0" w:rightChars="0"/>
        <w:jc w:val="left"/>
        <w:textAlignment w:val="auto"/>
        <w:outlineLvl w:val="9"/>
        <w:rPr>
          <w:rFonts w:eastAsia="楷体_GB2312"/>
          <w:spacing w:val="-4"/>
          <w:sz w:val="24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pStyle w:val="2"/>
        <w:rPr>
          <w:rFonts w:hint="eastAsia" w:ascii="黑体" w:eastAsia="黑体"/>
          <w:spacing w:val="-4"/>
          <w:sz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eastAsia="黑体"/>
          <w:spacing w:val="-4"/>
          <w:sz w:val="36"/>
          <w:lang w:eastAsia="zh-CN"/>
        </w:rPr>
      </w:pPr>
      <w:r>
        <w:rPr>
          <w:rFonts w:hint="eastAsia" w:ascii="黑体" w:eastAsia="黑体"/>
          <w:spacing w:val="-4"/>
          <w:sz w:val="36"/>
          <w:lang w:eastAsia="zh-CN"/>
        </w:rPr>
        <w:t>三、</w:t>
      </w:r>
      <w:r>
        <w:rPr>
          <w:rFonts w:hint="eastAsia" w:ascii="黑体" w:eastAsia="黑体"/>
          <w:spacing w:val="-4"/>
          <w:sz w:val="36"/>
        </w:rPr>
        <w:t>企业质量</w:t>
      </w:r>
      <w:r>
        <w:rPr>
          <w:rFonts w:hint="eastAsia" w:ascii="黑体" w:eastAsia="黑体"/>
          <w:spacing w:val="-4"/>
          <w:sz w:val="36"/>
          <w:lang w:eastAsia="zh-CN"/>
        </w:rPr>
        <w:t>管理成熟度</w:t>
      </w:r>
      <w:r>
        <w:rPr>
          <w:rFonts w:hint="eastAsia" w:ascii="黑体" w:eastAsia="黑体"/>
          <w:spacing w:val="-4"/>
          <w:sz w:val="36"/>
        </w:rPr>
        <w:t>自我评价</w:t>
      </w:r>
    </w:p>
    <w:p>
      <w:pPr>
        <w:spacing w:line="360" w:lineRule="auto"/>
        <w:jc w:val="center"/>
        <w:rPr>
          <w:rFonts w:hint="eastAsia" w:ascii="仿宋_GB2312" w:hAnsi="Calibri" w:eastAsia="仿宋_GB2312" w:cs="Times New Roman"/>
          <w:spacing w:val="-4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4"/>
          <w:sz w:val="32"/>
          <w:szCs w:val="32"/>
        </w:rPr>
        <w:t>（8000字以内）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963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8963" w:type="dxa"/>
            <w:vAlign w:val="top"/>
          </w:tcPr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根据《企业质量管理成熟度评价评分标准》，申报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组织从领导、质量、创新、品牌、效益等五个方面进行企业质量管理成熟度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自我评价，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简要说明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组织导入卓越绩效模式，在质量管理中开展的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过程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和主要成效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。（可单独成册）。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>
      <w:pPr>
        <w:spacing w:line="360" w:lineRule="auto"/>
        <w:jc w:val="both"/>
        <w:rPr>
          <w:rFonts w:hint="eastAsia" w:ascii="黑体" w:eastAsia="黑体"/>
          <w:spacing w:val="-4"/>
          <w:sz w:val="36"/>
          <w:lang w:eastAsia="zh-CN"/>
        </w:rPr>
      </w:pPr>
    </w:p>
    <w:p>
      <w:pPr>
        <w:spacing w:line="360" w:lineRule="auto"/>
        <w:jc w:val="center"/>
        <w:rPr>
          <w:rFonts w:hint="eastAsia" w:ascii="黑体" w:eastAsia="黑体"/>
          <w:spacing w:val="-4"/>
          <w:sz w:val="36"/>
          <w:lang w:eastAsia="zh-CN"/>
        </w:rPr>
      </w:pPr>
      <w:r>
        <w:rPr>
          <w:rFonts w:hint="eastAsia" w:ascii="黑体" w:eastAsia="黑体"/>
          <w:spacing w:val="-4"/>
          <w:sz w:val="36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eastAsia="zh-CN"/>
        </w:rPr>
        <w:t>区市场监管局</w:t>
      </w:r>
      <w:r>
        <w:rPr>
          <w:rFonts w:hint="eastAsia" w:ascii="黑体" w:hAnsi="黑体" w:eastAsia="黑体" w:cs="黑体"/>
          <w:spacing w:val="-4"/>
          <w:sz w:val="36"/>
          <w:szCs w:val="36"/>
          <w:lang w:eastAsia="zh-CN"/>
        </w:rPr>
        <w:t>审</w:t>
      </w:r>
      <w:r>
        <w:rPr>
          <w:rFonts w:hint="eastAsia" w:ascii="黑体" w:eastAsia="黑体"/>
          <w:spacing w:val="-4"/>
          <w:sz w:val="36"/>
          <w:lang w:eastAsia="zh-CN"/>
        </w:rPr>
        <w:t>核推荐意见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8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800" w:rightChars="25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2"/>
              <w:ind w:firstLine="560" w:firstLineChars="200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经审核，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/组织）符合申报条件，同意推荐申报。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640" w:right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640" w:right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ind w:right="64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ind w:right="64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日</w:t>
            </w:r>
          </w:p>
          <w:p>
            <w:pPr>
              <w:adjustRightInd w:val="0"/>
              <w:snapToGrid w:val="0"/>
              <w:ind w:right="640" w:right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640" w:right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spacing w:line="360" w:lineRule="auto"/>
        <w:jc w:val="both"/>
        <w:rPr>
          <w:rFonts w:hint="eastAsia" w:ascii="黑体" w:eastAsia="黑体"/>
          <w:spacing w:val="-4"/>
          <w:sz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71E80"/>
    <w:rsid w:val="0013157F"/>
    <w:rsid w:val="02EC58C7"/>
    <w:rsid w:val="04C6180F"/>
    <w:rsid w:val="04D22168"/>
    <w:rsid w:val="0A0D060A"/>
    <w:rsid w:val="0B65354D"/>
    <w:rsid w:val="0DF66B1A"/>
    <w:rsid w:val="0F844B5C"/>
    <w:rsid w:val="0FF915E0"/>
    <w:rsid w:val="100B257E"/>
    <w:rsid w:val="13DB0251"/>
    <w:rsid w:val="145E0C94"/>
    <w:rsid w:val="14936732"/>
    <w:rsid w:val="163C173F"/>
    <w:rsid w:val="1A4E0228"/>
    <w:rsid w:val="1A8B6EF2"/>
    <w:rsid w:val="1D8A1B0E"/>
    <w:rsid w:val="1E2D3D97"/>
    <w:rsid w:val="20F0052B"/>
    <w:rsid w:val="21054C84"/>
    <w:rsid w:val="25594B70"/>
    <w:rsid w:val="29596B5F"/>
    <w:rsid w:val="2A1B04AF"/>
    <w:rsid w:val="2A2D5191"/>
    <w:rsid w:val="2A5456DA"/>
    <w:rsid w:val="2EF86570"/>
    <w:rsid w:val="332C1764"/>
    <w:rsid w:val="394F31E8"/>
    <w:rsid w:val="41923057"/>
    <w:rsid w:val="44286F67"/>
    <w:rsid w:val="46EF5F8B"/>
    <w:rsid w:val="4CE11FB4"/>
    <w:rsid w:val="4DD911A0"/>
    <w:rsid w:val="501F2F05"/>
    <w:rsid w:val="508D2D62"/>
    <w:rsid w:val="5CF85724"/>
    <w:rsid w:val="5D871E80"/>
    <w:rsid w:val="5E834E49"/>
    <w:rsid w:val="60C667BB"/>
    <w:rsid w:val="613B5350"/>
    <w:rsid w:val="62F42988"/>
    <w:rsid w:val="6308694E"/>
    <w:rsid w:val="682702B9"/>
    <w:rsid w:val="6C04141F"/>
    <w:rsid w:val="6C1E33D3"/>
    <w:rsid w:val="6E3F6201"/>
    <w:rsid w:val="747413E2"/>
    <w:rsid w:val="748E494D"/>
    <w:rsid w:val="75086C57"/>
    <w:rsid w:val="7C722768"/>
    <w:rsid w:val="7C7E1DD0"/>
    <w:rsid w:val="7D745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ca-ES" w:eastAsia="ca-ES" w:bidi="ca-ES"/>
    </w:r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字母编号列项（一级）"/>
    <w:qFormat/>
    <w:uiPriority w:val="0"/>
    <w:pPr>
      <w:tabs>
        <w:tab w:val="left" w:pos="840"/>
      </w:tabs>
      <w:ind w:left="839" w:hanging="419"/>
      <w:jc w:val="both"/>
    </w:pPr>
    <w:rPr>
      <w:rFonts w:ascii="宋体" w:hAnsi="Calibri" w:eastAsiaTheme="minorEastAsia" w:cstheme="minorBidi"/>
      <w:sz w:val="21"/>
      <w:szCs w:val="22"/>
      <w:lang w:bidi="ar-SA"/>
    </w:rPr>
  </w:style>
  <w:style w:type="paragraph" w:customStyle="1" w:styleId="8">
    <w:name w:val="数字编号列项（二级）"/>
    <w:qFormat/>
    <w:uiPriority w:val="0"/>
    <w:pPr>
      <w:tabs>
        <w:tab w:val="left" w:pos="1260"/>
      </w:tabs>
      <w:ind w:left="1259" w:hanging="419"/>
      <w:jc w:val="both"/>
    </w:pPr>
    <w:rPr>
      <w:rFonts w:ascii="宋体" w:hAnsi="Calibri" w:eastAsiaTheme="minorEastAsia" w:cstheme="minorBidi"/>
      <w:sz w:val="21"/>
      <w:szCs w:val="22"/>
      <w:lang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2019-08-06T07:51:00Z</dcterms:created>
  <dc:creator>刘晓丽</dc:creator>
  <cp:lastModifiedBy>刘万金</cp:lastModifiedBy>
  <dcterms:modified xsi:type="dcterms:W3CDTF">2023-03-13T03:59:10Z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D7F4D6F61541416AA55B9D1D4CAF93A1</vt:lpwstr>
  </property>
</Properties>
</file>